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4FA2F" w14:textId="77777777" w:rsidR="00C96CE9" w:rsidRPr="00880F7F" w:rsidRDefault="00C96CE9" w:rsidP="005C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7FB28" w14:textId="77777777" w:rsidR="004A70E0" w:rsidRPr="00880F7F" w:rsidRDefault="004A70E0" w:rsidP="005C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EE7343" w14:textId="7518C11C" w:rsidR="002170AA" w:rsidRPr="00880F7F" w:rsidRDefault="002170AA" w:rsidP="00217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F7F">
        <w:rPr>
          <w:rFonts w:ascii="Times New Roman" w:hAnsi="Times New Roman" w:cs="Times New Roman"/>
          <w:b/>
          <w:bCs/>
          <w:sz w:val="24"/>
          <w:szCs w:val="24"/>
        </w:rPr>
        <w:t xml:space="preserve">UGOVOR O PRIJENOSU </w:t>
      </w:r>
      <w:r w:rsidR="00880F7F" w:rsidRPr="00880F7F">
        <w:rPr>
          <w:rFonts w:ascii="Times New Roman" w:hAnsi="Times New Roman" w:cs="Times New Roman"/>
          <w:b/>
          <w:bCs/>
          <w:sz w:val="24"/>
          <w:szCs w:val="24"/>
        </w:rPr>
        <w:t>UGOVORENOG KAPACITETA UPLINJAVANJA</w:t>
      </w:r>
      <w:r w:rsidRPr="00880F7F">
        <w:rPr>
          <w:rFonts w:ascii="Times New Roman" w:hAnsi="Times New Roman" w:cs="Times New Roman"/>
          <w:b/>
          <w:bCs/>
          <w:sz w:val="24"/>
          <w:szCs w:val="24"/>
        </w:rPr>
        <w:t xml:space="preserve"> UPP-A</w:t>
      </w:r>
    </w:p>
    <w:p w14:paraId="4D0E9CC6" w14:textId="77777777" w:rsidR="002170AA" w:rsidRPr="00880F7F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3D505" w14:textId="77777777" w:rsidR="00880F7F" w:rsidRPr="00880F7F" w:rsidRDefault="00880F7F" w:rsidP="00880F7F">
      <w:pPr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880F7F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>LNG Hrvatska d.o.o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, društvo osnovano i koje djeluje prema zakonima Republike Hrvatske, sa adresom sjedišta u Slavonskoj aveniji 1B, Zagreb, Hrvatska (nadalje: </w:t>
      </w:r>
      <w:r w:rsidRPr="00880F7F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t>Operator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), zastupano od strane Direktora, Ivan Fugaš,  i</w:t>
      </w:r>
    </w:p>
    <w:p w14:paraId="78D003F2" w14:textId="77777777" w:rsidR="00880F7F" w:rsidRPr="00880F7F" w:rsidRDefault="00880F7F" w:rsidP="00880F7F">
      <w:pPr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14:paraId="5F3440AA" w14:textId="77777777" w:rsidR="00880F7F" w:rsidRPr="00880F7F" w:rsidRDefault="00880F7F" w:rsidP="00880F7F">
      <w:pPr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880F7F">
        <w:rPr>
          <w:rFonts w:ascii="Times New Roman" w:eastAsia="SimSun" w:hAnsi="Times New Roman" w:cs="Times New Roman"/>
          <w:b/>
          <w:color w:val="00000A"/>
          <w:sz w:val="24"/>
          <w:szCs w:val="24"/>
          <w:highlight w:val="lightGray"/>
          <w:lang w:eastAsia="zh-CN" w:bidi="hi-IN"/>
        </w:rPr>
        <w:t>[</w:t>
      </w:r>
      <w:r w:rsidRPr="00880F7F">
        <w:rPr>
          <w:rFonts w:ascii="Times New Roman" w:eastAsia="SimSun" w:hAnsi="Times New Roman" w:cs="Times New Roman"/>
          <w:b/>
          <w:i/>
          <w:iCs/>
          <w:color w:val="00000A"/>
          <w:sz w:val="24"/>
          <w:szCs w:val="24"/>
          <w:highlight w:val="lightGray"/>
          <w:lang w:eastAsia="zh-CN" w:bidi="hi-IN"/>
        </w:rPr>
        <w:t>tvrtka društva</w:t>
      </w:r>
      <w:r w:rsidRPr="00880F7F">
        <w:rPr>
          <w:rFonts w:ascii="Times New Roman" w:eastAsia="SimSun" w:hAnsi="Times New Roman" w:cs="Times New Roman"/>
          <w:b/>
          <w:color w:val="00000A"/>
          <w:sz w:val="24"/>
          <w:szCs w:val="24"/>
          <w:highlight w:val="lightGray"/>
          <w:lang w:eastAsia="zh-CN" w:bidi="hi-IN"/>
        </w:rPr>
        <w:t>]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, 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highlight w:val="lightGray"/>
          <w:lang w:eastAsia="zh-CN" w:bidi="hi-IN"/>
        </w:rPr>
        <w:t>[</w:t>
      </w:r>
      <w:r w:rsidRPr="00880F7F"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highlight w:val="lightGray"/>
          <w:lang w:eastAsia="zh-CN" w:bidi="hi-IN"/>
        </w:rPr>
        <w:t>pravni oblik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highlight w:val="lightGray"/>
          <w:lang w:eastAsia="zh-CN" w:bidi="hi-IN"/>
        </w:rPr>
        <w:t>]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osnovano i koje djeluje prema zakonima 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highlight w:val="lightGray"/>
          <w:lang w:eastAsia="zh-CN" w:bidi="hi-IN"/>
        </w:rPr>
        <w:t>[</w:t>
      </w:r>
      <w:r w:rsidRPr="00880F7F"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highlight w:val="lightGray"/>
          <w:lang w:eastAsia="zh-CN" w:bidi="hi-IN"/>
        </w:rPr>
        <w:t>nadležnost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highlight w:val="lightGray"/>
          <w:lang w:eastAsia="zh-CN" w:bidi="hi-IN"/>
        </w:rPr>
        <w:t>]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, sa adresom sjedišta u 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highlight w:val="lightGray"/>
          <w:lang w:eastAsia="zh-CN" w:bidi="hi-IN"/>
        </w:rPr>
        <w:t>[adresa sjedišta]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(nadalje: </w:t>
      </w:r>
      <w:r w:rsidRPr="00880F7F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>Prenositelj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), zastupano od strane 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highlight w:val="lightGray"/>
          <w:lang w:eastAsia="zh-CN" w:bidi="hi-IN"/>
        </w:rPr>
        <w:t>[</w:t>
      </w:r>
      <w:r w:rsidRPr="00880F7F"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highlight w:val="lightGray"/>
          <w:lang w:eastAsia="zh-CN" w:bidi="hi-IN"/>
        </w:rPr>
        <w:t>funkcija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highlight w:val="lightGray"/>
          <w:lang w:eastAsia="zh-CN" w:bidi="hi-IN"/>
        </w:rPr>
        <w:t>]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highlight w:val="lightGray"/>
          <w:lang w:eastAsia="zh-CN" w:bidi="hi-IN"/>
        </w:rPr>
        <w:t>[</w:t>
      </w:r>
      <w:r w:rsidRPr="00880F7F"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highlight w:val="lightGray"/>
          <w:lang w:eastAsia="zh-CN" w:bidi="hi-IN"/>
        </w:rPr>
        <w:t>puno ime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highlight w:val="lightGray"/>
          <w:lang w:eastAsia="zh-CN" w:bidi="hi-IN"/>
        </w:rPr>
        <w:t>]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,  i</w:t>
      </w:r>
    </w:p>
    <w:p w14:paraId="72A1AD5F" w14:textId="77777777" w:rsidR="00880F7F" w:rsidRPr="00880F7F" w:rsidRDefault="00880F7F" w:rsidP="00880F7F">
      <w:pPr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14:paraId="3F84F9C4" w14:textId="77777777" w:rsidR="00880F7F" w:rsidRPr="00880F7F" w:rsidRDefault="00880F7F" w:rsidP="00880F7F">
      <w:pPr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880F7F">
        <w:rPr>
          <w:rFonts w:ascii="Times New Roman" w:eastAsia="SimSun" w:hAnsi="Times New Roman" w:cs="Times New Roman"/>
          <w:b/>
          <w:color w:val="00000A"/>
          <w:sz w:val="24"/>
          <w:szCs w:val="24"/>
          <w:highlight w:val="lightGray"/>
          <w:lang w:eastAsia="zh-CN" w:bidi="hi-IN"/>
        </w:rPr>
        <w:t>[</w:t>
      </w:r>
      <w:r w:rsidRPr="00880F7F">
        <w:rPr>
          <w:rFonts w:ascii="Times New Roman" w:eastAsia="SimSun" w:hAnsi="Times New Roman" w:cs="Times New Roman"/>
          <w:b/>
          <w:i/>
          <w:iCs/>
          <w:color w:val="00000A"/>
          <w:sz w:val="24"/>
          <w:szCs w:val="24"/>
          <w:highlight w:val="lightGray"/>
          <w:lang w:eastAsia="zh-CN" w:bidi="hi-IN"/>
        </w:rPr>
        <w:t>tvrtka društva</w:t>
      </w:r>
      <w:r w:rsidRPr="00880F7F">
        <w:rPr>
          <w:rFonts w:ascii="Times New Roman" w:eastAsia="SimSun" w:hAnsi="Times New Roman" w:cs="Times New Roman"/>
          <w:b/>
          <w:color w:val="00000A"/>
          <w:sz w:val="24"/>
          <w:szCs w:val="24"/>
          <w:highlight w:val="lightGray"/>
          <w:lang w:eastAsia="zh-CN" w:bidi="hi-IN"/>
        </w:rPr>
        <w:t>]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, 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highlight w:val="lightGray"/>
          <w:lang w:eastAsia="zh-CN" w:bidi="hi-IN"/>
        </w:rPr>
        <w:t>[</w:t>
      </w:r>
      <w:r w:rsidRPr="00880F7F"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highlight w:val="lightGray"/>
          <w:lang w:eastAsia="zh-CN" w:bidi="hi-IN"/>
        </w:rPr>
        <w:t>pravni oblik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highlight w:val="lightGray"/>
          <w:lang w:eastAsia="zh-CN" w:bidi="hi-IN"/>
        </w:rPr>
        <w:t>]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osnovano i koje djeluje prema zakonima 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highlight w:val="lightGray"/>
          <w:lang w:eastAsia="zh-CN" w:bidi="hi-IN"/>
        </w:rPr>
        <w:t>[</w:t>
      </w:r>
      <w:r w:rsidRPr="00880F7F"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highlight w:val="lightGray"/>
          <w:lang w:eastAsia="zh-CN" w:bidi="hi-IN"/>
        </w:rPr>
        <w:t>nadležnost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highlight w:val="lightGray"/>
          <w:lang w:eastAsia="zh-CN" w:bidi="hi-IN"/>
        </w:rPr>
        <w:t>]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, sa adresom sjedišta u 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highlight w:val="lightGray"/>
          <w:lang w:eastAsia="zh-CN" w:bidi="hi-IN"/>
        </w:rPr>
        <w:t>[adresa sjedišta]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(nadalje u tekstu </w:t>
      </w:r>
      <w:r w:rsidRPr="00880F7F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>Stjecatelj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), zastupano od strane 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highlight w:val="lightGray"/>
          <w:lang w:eastAsia="zh-CN" w:bidi="hi-IN"/>
        </w:rPr>
        <w:t>[funkcija]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highlight w:val="lightGray"/>
          <w:lang w:eastAsia="zh-CN" w:bidi="hi-IN"/>
        </w:rPr>
        <w:t>[</w:t>
      </w:r>
      <w:r w:rsidRPr="00880F7F"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highlight w:val="lightGray"/>
          <w:lang w:eastAsia="zh-CN" w:bidi="hi-IN"/>
        </w:rPr>
        <w:t>puno ime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highlight w:val="lightGray"/>
          <w:lang w:eastAsia="zh-CN" w:bidi="hi-IN"/>
        </w:rPr>
        <w:t>]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, </w:t>
      </w:r>
    </w:p>
    <w:p w14:paraId="6B6EAF8A" w14:textId="77777777" w:rsidR="00880F7F" w:rsidRPr="00880F7F" w:rsidRDefault="00880F7F" w:rsidP="00880F7F">
      <w:pPr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14:paraId="10512B16" w14:textId="77777777" w:rsidR="00880F7F" w:rsidRPr="00880F7F" w:rsidRDefault="00880F7F" w:rsidP="00880F7F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  <w:r w:rsidRPr="00880F7F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>Pri čemu:</w:t>
      </w:r>
    </w:p>
    <w:p w14:paraId="14EE987A" w14:textId="77777777" w:rsidR="00880F7F" w:rsidRPr="00880F7F" w:rsidRDefault="00880F7F" w:rsidP="00880F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  <w:r w:rsidRPr="00880F7F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 xml:space="preserve">Prenositelj je sa Operatorom sklopio Ugovor o korištenju terminala za UPP </w:t>
      </w:r>
      <w:bookmarkStart w:id="0" w:name="_Hlk71036541"/>
      <w:r w:rsidRPr="00880F7F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 xml:space="preserve">broj: </w:t>
      </w:r>
      <w:r w:rsidRPr="00880F7F">
        <w:rPr>
          <w:rFonts w:ascii="Times New Roman" w:eastAsia="SimSun" w:hAnsi="Times New Roman" w:cs="Times New Roman"/>
          <w:color w:val="000000"/>
          <w:sz w:val="24"/>
          <w:szCs w:val="24"/>
          <w:highlight w:val="yellow"/>
          <w:lang w:bidi="hi-IN"/>
        </w:rPr>
        <w:t>[•]</w:t>
      </w:r>
      <w:r w:rsidRPr="00880F7F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 xml:space="preserve"> od dana </w:t>
      </w:r>
      <w:r w:rsidRPr="00880F7F">
        <w:rPr>
          <w:rFonts w:ascii="Times New Roman" w:eastAsia="SimSun" w:hAnsi="Times New Roman" w:cs="Times New Roman"/>
          <w:color w:val="000000"/>
          <w:sz w:val="24"/>
          <w:szCs w:val="24"/>
          <w:highlight w:val="yellow"/>
          <w:lang w:bidi="hi-IN"/>
        </w:rPr>
        <w:t>[•]</w:t>
      </w:r>
      <w:r w:rsidRPr="00880F7F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 xml:space="preserve"> </w:t>
      </w:r>
      <w:bookmarkEnd w:id="0"/>
      <w:r w:rsidRPr="00880F7F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 xml:space="preserve">(nadalje u tekstu: </w:t>
      </w:r>
      <w:r w:rsidRPr="00880F7F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hi-IN"/>
        </w:rPr>
        <w:t>Ugovor</w:t>
      </w:r>
      <w:r w:rsidRPr="00880F7F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>), kojim je ugovorio kapacitet uplinjavanja UPP-a, kojeg ne namjerava koristiti, te želi prenijeti predmetni kapacitet uplinjavanja UPP-a na Stjecatelja.</w:t>
      </w:r>
    </w:p>
    <w:p w14:paraId="205C3D9D" w14:textId="77777777" w:rsidR="00880F7F" w:rsidRPr="00880F7F" w:rsidRDefault="00880F7F" w:rsidP="00880F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  <w:r w:rsidRPr="00880F7F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>Stjecatelj je imatelj dozvole za [</w:t>
      </w:r>
      <w:r w:rsidRPr="00880F7F">
        <w:rPr>
          <w:rFonts w:ascii="Times New Roman" w:eastAsia="SimSun" w:hAnsi="Times New Roman" w:cs="Times New Roman"/>
          <w:color w:val="000000"/>
          <w:sz w:val="24"/>
          <w:szCs w:val="24"/>
          <w:highlight w:val="yellow"/>
          <w:lang w:bidi="hi-IN"/>
        </w:rPr>
        <w:t>opskrbu plinom ili trgovinu plinom</w:t>
      </w:r>
      <w:r w:rsidRPr="00880F7F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 xml:space="preserve">], izdane od Hrvatske energetske regulatorne agencije, broj: </w:t>
      </w:r>
      <w:r w:rsidRPr="00880F7F">
        <w:rPr>
          <w:rFonts w:ascii="Times New Roman" w:eastAsia="SimSun" w:hAnsi="Times New Roman" w:cs="Times New Roman"/>
          <w:color w:val="000000"/>
          <w:sz w:val="24"/>
          <w:szCs w:val="24"/>
          <w:highlight w:val="yellow"/>
          <w:lang w:bidi="hi-IN"/>
        </w:rPr>
        <w:t>[•]</w:t>
      </w:r>
      <w:r w:rsidRPr="00880F7F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 xml:space="preserve"> od dana </w:t>
      </w:r>
      <w:r w:rsidRPr="00880F7F">
        <w:rPr>
          <w:rFonts w:ascii="Times New Roman" w:eastAsia="SimSun" w:hAnsi="Times New Roman" w:cs="Times New Roman"/>
          <w:color w:val="000000"/>
          <w:sz w:val="24"/>
          <w:szCs w:val="24"/>
          <w:highlight w:val="yellow"/>
          <w:lang w:bidi="hi-IN"/>
        </w:rPr>
        <w:t>[•]</w:t>
      </w:r>
      <w:r w:rsidRPr="00880F7F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 xml:space="preserve">, te potpisom ovog Ugovora o Prijenosu jamči da ispunjava sve uvjete za korisnika terminala za UPP </w:t>
      </w:r>
      <w:bookmarkStart w:id="1" w:name="_Hlk71110588"/>
      <w:r w:rsidRPr="00880F7F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 xml:space="preserve">i zajedničkog korisnika terminala za UPP predviđene </w:t>
      </w:r>
      <w:bookmarkEnd w:id="1"/>
      <w:r w:rsidRPr="00880F7F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 xml:space="preserve">Pravilima korištenja terminala za UPP (Narodne novine broj </w:t>
      </w:r>
      <w:hyperlink r:id="rId7" w:tgtFrame="_blank" w:history="1">
        <w:r w:rsidRPr="00880F7F">
          <w:rPr>
            <w:rFonts w:ascii="Times New Roman" w:eastAsia="SimSun" w:hAnsi="Times New Roman" w:cs="Times New Roman"/>
            <w:color w:val="000000"/>
            <w:sz w:val="24"/>
            <w:szCs w:val="24"/>
            <w:lang w:bidi="hi-IN"/>
          </w:rPr>
          <w:t>87/21</w:t>
        </w:r>
      </w:hyperlink>
      <w:r w:rsidRPr="00880F7F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>, </w:t>
      </w:r>
      <w:hyperlink r:id="rId8" w:tgtFrame="_blank" w:history="1">
        <w:r w:rsidRPr="00880F7F">
          <w:rPr>
            <w:rFonts w:ascii="Times New Roman" w:eastAsia="SimSun" w:hAnsi="Times New Roman" w:cs="Times New Roman"/>
            <w:color w:val="000000"/>
            <w:sz w:val="24"/>
            <w:szCs w:val="24"/>
            <w:lang w:bidi="hi-IN"/>
          </w:rPr>
          <w:t>72/22</w:t>
        </w:r>
      </w:hyperlink>
      <w:r w:rsidRPr="00880F7F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 xml:space="preserve">, i naknadne izmjene i dopune, dalje kao: </w:t>
      </w:r>
      <w:r w:rsidRPr="00880F7F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hi-IN"/>
        </w:rPr>
        <w:t>Pravila korištenja terminala za UPP</w:t>
      </w:r>
      <w:r w:rsidRPr="00880F7F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>).</w:t>
      </w:r>
    </w:p>
    <w:p w14:paraId="0DB479D8" w14:textId="77777777" w:rsidR="00880F7F" w:rsidRPr="00880F7F" w:rsidRDefault="00880F7F" w:rsidP="00880F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  <w:r w:rsidRPr="00880F7F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>Operator potpisom ovog Ugovora o Prijenosu daje odobrenje na sklapanje ovog Ugovora o Prijenosu sukladno članku 23 Pravila korištenja terminala za UPP, pod ovdje definiranim uvjetima i odredbama.</w:t>
      </w:r>
    </w:p>
    <w:p w14:paraId="5FB303B9" w14:textId="77777777" w:rsidR="00880F7F" w:rsidRPr="00880F7F" w:rsidRDefault="00880F7F" w:rsidP="00880F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  <w:r w:rsidRPr="00880F7F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>Osim ako nije ovim Ugovorom o Prijenosu izrijekom drugačije navedeno, pojmovi označeni velikim početnim slovom imati će značenje koje im je dodijeljeno u Pravilima korištenja terminala za UPP, Općim uvjetima korištenja terminala za UPP i Ugovoru.</w:t>
      </w:r>
    </w:p>
    <w:p w14:paraId="71A2A925" w14:textId="77777777" w:rsidR="00880F7F" w:rsidRPr="00880F7F" w:rsidRDefault="00880F7F" w:rsidP="00880F7F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</w:p>
    <w:p w14:paraId="083FE196" w14:textId="77777777" w:rsidR="00880F7F" w:rsidRPr="00880F7F" w:rsidRDefault="00880F7F" w:rsidP="00880F7F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  <w:r w:rsidRPr="00880F7F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 xml:space="preserve">Ugovorne strane su sklopile sljedeći Ugovor o prijenosu kapaciteta uplinjavanja UPP-a (nadalje u tekstu: </w:t>
      </w:r>
      <w:r w:rsidRPr="00880F7F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hi-IN"/>
        </w:rPr>
        <w:t>Ugovor o Prijenosu</w:t>
      </w:r>
      <w:r w:rsidRPr="00880F7F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>).</w:t>
      </w:r>
    </w:p>
    <w:p w14:paraId="15BDF5C3" w14:textId="77777777" w:rsidR="00880F7F" w:rsidRPr="00880F7F" w:rsidRDefault="00880F7F" w:rsidP="00880F7F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</w:p>
    <w:p w14:paraId="3389EB25" w14:textId="77777777" w:rsidR="00880F7F" w:rsidRPr="00880F7F" w:rsidRDefault="00880F7F" w:rsidP="00880F7F">
      <w:pPr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  <w:r w:rsidRPr="00880F7F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hi-IN"/>
        </w:rPr>
        <w:t xml:space="preserve">Predmet Ugovora o Prijenosu </w:t>
      </w:r>
    </w:p>
    <w:p w14:paraId="4D0EB1D9" w14:textId="77777777" w:rsidR="00880F7F" w:rsidRPr="00880F7F" w:rsidRDefault="00880F7F" w:rsidP="00880F7F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</w:p>
    <w:p w14:paraId="47C9AFA4" w14:textId="77777777" w:rsidR="00880F7F" w:rsidRPr="00880F7F" w:rsidRDefault="00880F7F" w:rsidP="00880F7F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  <w:r w:rsidRPr="00880F7F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 xml:space="preserve">Sklapanjem ovog Ugovora o Prijenosu, Prenositelj prenosi na Stjecatelja svoja prava i obveze iz Ugovora u odnosu na kapacitet uplinjavanja UPP-a opisan u tablici u ovoj točki 1. Ugovora o Prijenosu (nadalje u tekstu: </w:t>
      </w:r>
      <w:r w:rsidRPr="00880F7F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hi-IN"/>
        </w:rPr>
        <w:t>Kapacitet Uplinjavanja UPP-a za Prijenos</w:t>
      </w:r>
      <w:r w:rsidRPr="00880F7F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>), a Stjecatelj preuzima takva prava i obveze te postaje ugovorna strana Ugovora u odnosu na preneseni Kapacitet Uplinjavanja UPP-a za Prijenos.</w:t>
      </w:r>
    </w:p>
    <w:p w14:paraId="34E0B9F8" w14:textId="77777777" w:rsidR="00880F7F" w:rsidRPr="00880F7F" w:rsidRDefault="00880F7F" w:rsidP="00880F7F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</w:p>
    <w:p w14:paraId="5B27ADC4" w14:textId="77777777" w:rsidR="00880F7F" w:rsidRPr="00880F7F" w:rsidRDefault="00880F7F" w:rsidP="00880F7F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</w:p>
    <w:p w14:paraId="2DB2620F" w14:textId="77777777" w:rsidR="00880F7F" w:rsidRPr="00880F7F" w:rsidRDefault="00880F7F" w:rsidP="00880F7F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</w:p>
    <w:p w14:paraId="5ABC3D35" w14:textId="77777777" w:rsidR="00880F7F" w:rsidRPr="00880F7F" w:rsidRDefault="00880F7F" w:rsidP="00880F7F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</w:p>
    <w:p w14:paraId="410DF478" w14:textId="77777777" w:rsidR="00880F7F" w:rsidRPr="00880F7F" w:rsidRDefault="00880F7F" w:rsidP="00880F7F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</w:p>
    <w:tbl>
      <w:tblPr>
        <w:tblpPr w:leftFromText="180" w:rightFromText="180" w:vertAnchor="text" w:horzAnchor="margin" w:tblpXSpec="center" w:tblpY="157"/>
        <w:tblW w:w="8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5657"/>
        <w:gridCol w:w="1240"/>
        <w:gridCol w:w="1701"/>
      </w:tblGrid>
      <w:tr w:rsidR="00880F7F" w:rsidRPr="00880F7F" w14:paraId="5CD23F20" w14:textId="77777777" w:rsidTr="00F36DB0">
        <w:tc>
          <w:tcPr>
            <w:tcW w:w="85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F64104E" w14:textId="77777777" w:rsidR="00880F7F" w:rsidRPr="00880F7F" w:rsidRDefault="00880F7F" w:rsidP="00F36DB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80F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  <w:lastRenderedPageBreak/>
              <w:t xml:space="preserve">Kapacitet Uplinjavanja UPP-a za Prijenos </w:t>
            </w:r>
          </w:p>
        </w:tc>
      </w:tr>
      <w:tr w:rsidR="00880F7F" w:rsidRPr="00880F7F" w14:paraId="45A8543B" w14:textId="77777777" w:rsidTr="00F36DB0">
        <w:trPr>
          <w:trHeight w:val="462"/>
        </w:trPr>
        <w:tc>
          <w:tcPr>
            <w:tcW w:w="56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8CC90B6" w14:textId="77777777" w:rsidR="00880F7F" w:rsidRPr="00880F7F" w:rsidRDefault="00880F7F" w:rsidP="00F36DB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80F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  <w:t xml:space="preserve">Kapacitet Uplinjavanja UPP-a za Prijenos 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D840AE" w14:textId="77777777" w:rsidR="00880F7F" w:rsidRPr="00880F7F" w:rsidRDefault="00880F7F" w:rsidP="00F36DB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80F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  <w:t>kWh ukupno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360D48" w14:textId="77777777" w:rsidR="00880F7F" w:rsidRPr="00880F7F" w:rsidRDefault="00880F7F" w:rsidP="00F36DB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880F7F" w:rsidRPr="00880F7F" w14:paraId="5C1ABD06" w14:textId="77777777" w:rsidTr="00F36DB0">
        <w:trPr>
          <w:trHeight w:val="462"/>
        </w:trPr>
        <w:tc>
          <w:tcPr>
            <w:tcW w:w="5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5B42370" w14:textId="77777777" w:rsidR="00880F7F" w:rsidRPr="00880F7F" w:rsidRDefault="00880F7F" w:rsidP="00F36DB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C06EE1" w14:textId="77777777" w:rsidR="00880F7F" w:rsidRPr="00880F7F" w:rsidRDefault="00880F7F" w:rsidP="00F36DB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80F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  <w:t xml:space="preserve">kWh/d </w:t>
            </w:r>
          </w:p>
          <w:p w14:paraId="536A9CDB" w14:textId="77777777" w:rsidR="00880F7F" w:rsidRPr="00880F7F" w:rsidRDefault="00880F7F" w:rsidP="00F36DB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80F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  <w:t>ako je stopa fiksna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1065B6" w14:textId="77777777" w:rsidR="00880F7F" w:rsidRPr="00880F7F" w:rsidRDefault="00880F7F" w:rsidP="00F36DB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880F7F" w:rsidRPr="00880F7F" w14:paraId="4A4BB190" w14:textId="77777777" w:rsidTr="00F36DB0">
        <w:trPr>
          <w:trHeight w:val="462"/>
        </w:trPr>
        <w:tc>
          <w:tcPr>
            <w:tcW w:w="56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8D27B15" w14:textId="77777777" w:rsidR="00880F7F" w:rsidRPr="00880F7F" w:rsidRDefault="00880F7F" w:rsidP="00F36DB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80F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  <w:t>Ugovoreni period korištenja  Kapaciteta Uplinjavanja UPP-a za Prijenos temeljem Ugovora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DC87753" w14:textId="77777777" w:rsidR="00880F7F" w:rsidRPr="00880F7F" w:rsidRDefault="00880F7F" w:rsidP="00F36DB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80F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  <w:t>Od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966273" w14:textId="77777777" w:rsidR="00880F7F" w:rsidRPr="00880F7F" w:rsidRDefault="00880F7F" w:rsidP="00F36DB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880F7F" w:rsidRPr="00880F7F" w14:paraId="7ADD2048" w14:textId="77777777" w:rsidTr="00F36DB0">
        <w:trPr>
          <w:trHeight w:val="462"/>
        </w:trPr>
        <w:tc>
          <w:tcPr>
            <w:tcW w:w="5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4E7CEB5" w14:textId="77777777" w:rsidR="00880F7F" w:rsidRPr="00880F7F" w:rsidRDefault="00880F7F" w:rsidP="00F36DB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BF1D716" w14:textId="77777777" w:rsidR="00880F7F" w:rsidRPr="00880F7F" w:rsidRDefault="00880F7F" w:rsidP="00F36DB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80F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  <w:t>Do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D53EF5" w14:textId="77777777" w:rsidR="00880F7F" w:rsidRPr="00880F7F" w:rsidRDefault="00880F7F" w:rsidP="00F36DB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880F7F" w:rsidRPr="00880F7F" w14:paraId="2D2EDD89" w14:textId="77777777" w:rsidTr="00F36DB0">
        <w:trPr>
          <w:trHeight w:val="405"/>
        </w:trPr>
        <w:tc>
          <w:tcPr>
            <w:tcW w:w="56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102C5DD9" w14:textId="77777777" w:rsidR="00880F7F" w:rsidRPr="00880F7F" w:rsidRDefault="00880F7F" w:rsidP="00F36DB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80F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  <w:t xml:space="preserve">Razdoblje za koje se prenosi Kapacitet Uplinjavanja UPP-a za Prijenos 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1912B2" w14:textId="77777777" w:rsidR="00880F7F" w:rsidRPr="00880F7F" w:rsidRDefault="00880F7F" w:rsidP="00F36DB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80F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  <w:t>Od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EEE75F" w14:textId="77777777" w:rsidR="00880F7F" w:rsidRPr="00880F7F" w:rsidRDefault="00880F7F" w:rsidP="00F36DB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880F7F" w:rsidRPr="00880F7F" w14:paraId="55305CAA" w14:textId="77777777" w:rsidTr="00F36DB0">
        <w:trPr>
          <w:trHeight w:val="405"/>
        </w:trPr>
        <w:tc>
          <w:tcPr>
            <w:tcW w:w="56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F5A92F" w14:textId="77777777" w:rsidR="00880F7F" w:rsidRPr="00880F7F" w:rsidRDefault="00880F7F" w:rsidP="00F36DB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6856CD" w14:textId="77777777" w:rsidR="00880F7F" w:rsidRPr="00880F7F" w:rsidRDefault="00880F7F" w:rsidP="00F36DB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80F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  <w:t>Do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D6D183" w14:textId="77777777" w:rsidR="00880F7F" w:rsidRPr="00880F7F" w:rsidRDefault="00880F7F" w:rsidP="00F36DB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</w:tbl>
    <w:p w14:paraId="3B5FC9F0" w14:textId="77777777" w:rsidR="00880F7F" w:rsidRPr="00880F7F" w:rsidRDefault="00880F7F" w:rsidP="00880F7F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</w:p>
    <w:p w14:paraId="64D2D068" w14:textId="77777777" w:rsidR="00880F7F" w:rsidRPr="00880F7F" w:rsidRDefault="00880F7F" w:rsidP="00880F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hi-IN"/>
        </w:rPr>
      </w:pPr>
      <w:r w:rsidRPr="00880F7F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hi-IN"/>
        </w:rPr>
        <w:t xml:space="preserve">Prava i obveze ugovornih strana  </w:t>
      </w:r>
    </w:p>
    <w:p w14:paraId="069205EB" w14:textId="77777777" w:rsidR="00880F7F" w:rsidRPr="00880F7F" w:rsidRDefault="00880F7F" w:rsidP="00880F7F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hi-IN"/>
        </w:rPr>
      </w:pPr>
    </w:p>
    <w:p w14:paraId="2AF9BD92" w14:textId="77777777" w:rsidR="00880F7F" w:rsidRPr="00880F7F" w:rsidRDefault="00880F7F" w:rsidP="00880F7F">
      <w:pPr>
        <w:spacing w:after="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  <w:r w:rsidRPr="00880F7F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 xml:space="preserve">Od datuma prijenosa Kapaciteta Uplinjavanja UPP-a za Prijenos naznačenog u tablici u točki 1. ovog Ugovora o Prijenosu, Prenositelj prenosi, a Stjecatelj preuzima od Prenositelja prava i obveze i ugovornu poziciju Prenositelja iz Ugovora koji se odnose na Kapacitet Uplinjavanja UPP-a za Prijenos (uključujući, ali ne ograničavajući se na, obvezu dostave sredstva osiguranja plaćanja, dostave jamstva za raspodjelu kapaciteta i obvezu poštivanja rasporeda usluga). </w:t>
      </w:r>
    </w:p>
    <w:p w14:paraId="49EA6287" w14:textId="77777777" w:rsidR="00880F7F" w:rsidRPr="00880F7F" w:rsidRDefault="00880F7F" w:rsidP="00880F7F">
      <w:pPr>
        <w:spacing w:after="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</w:p>
    <w:p w14:paraId="3FD2C2BD" w14:textId="77777777" w:rsidR="00880F7F" w:rsidRPr="00880F7F" w:rsidRDefault="00880F7F" w:rsidP="00880F7F">
      <w:pPr>
        <w:spacing w:after="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  <w:r w:rsidRPr="00880F7F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 xml:space="preserve">Prenositelj ostaje ugovorna strana Ugovora u odnosu na sva druga prava i obveze korisnika terminala za UPP iz Ugovora, koja nisu predmet prijenosa temeljem ovog Ugovora o Prijenosu. </w:t>
      </w:r>
    </w:p>
    <w:p w14:paraId="1385A381" w14:textId="77777777" w:rsidR="00880F7F" w:rsidRPr="00880F7F" w:rsidRDefault="00880F7F" w:rsidP="00880F7F">
      <w:pPr>
        <w:spacing w:after="0" w:line="240" w:lineRule="auto"/>
        <w:ind w:left="142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</w:p>
    <w:p w14:paraId="08DE5359" w14:textId="77777777" w:rsidR="00880F7F" w:rsidRPr="00880F7F" w:rsidRDefault="00880F7F" w:rsidP="00880F7F">
      <w:pPr>
        <w:spacing w:after="0" w:line="240" w:lineRule="auto"/>
        <w:ind w:left="142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Stjecatelj će plaćati Operatoru naknadu za korištenje terminala za UPP i sve druge tražbine, koje se odnose na i/ili vezano uz preneseni Kapacitet Uplinjavanja UPP-a za Prijenos, nastale počevši od datuma prijenosa navedenog u točki 1. ovog Ugovora o Prijenosu nadalje, sukladno odredbama Ugovora. </w:t>
      </w:r>
    </w:p>
    <w:p w14:paraId="54303BBF" w14:textId="77777777" w:rsidR="00880F7F" w:rsidRPr="00880F7F" w:rsidRDefault="00880F7F" w:rsidP="00880F7F">
      <w:pPr>
        <w:spacing w:after="0" w:line="240" w:lineRule="auto"/>
        <w:ind w:left="142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</w:p>
    <w:p w14:paraId="5970F3FD" w14:textId="77777777" w:rsidR="00880F7F" w:rsidRPr="00880F7F" w:rsidRDefault="00880F7F" w:rsidP="00880F7F">
      <w:pPr>
        <w:spacing w:after="0" w:line="240" w:lineRule="auto"/>
        <w:ind w:left="142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Prenositelj je obvezan podmiriti Operatoru naknadu za korištenje terminala za UPP i sve druge tražbine, koje se odnose na i/ili vezano uz Kapacitet Uplinjavanja UPP-a za Prijenos, nastale sve do datuma prijenosa navedenog u točki 1. ovog Ugovora o Prijenosu, sukladno odredbama Ugovora.</w:t>
      </w:r>
    </w:p>
    <w:p w14:paraId="5D4D1670" w14:textId="77777777" w:rsidR="00880F7F" w:rsidRPr="00880F7F" w:rsidRDefault="00880F7F" w:rsidP="00880F7F">
      <w:pPr>
        <w:spacing w:before="100" w:beforeAutospacing="1" w:after="0" w:line="240" w:lineRule="auto"/>
        <w:ind w:left="142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Stjecatelj je obvezan </w:t>
      </w:r>
      <w:bookmarkStart w:id="2" w:name="_Hlk71115068"/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u roku iz Pravila </w:t>
      </w:r>
      <w:bookmarkEnd w:id="2"/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korištenja terminala za UPP</w:t>
      </w:r>
      <w:r w:rsidRPr="00880F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istovremeno sa dostavom Operatoru primjeraka ovog Ugovora o Prijenosu potpisanih od strane Prenositelja i Stjecatelja, dostaviti Operatoru sredstvo osiguranja plaćanja za Kapacitet Uplinjavanja UPP-a za Prijenos sukladno odredbama Ugovora i Općih uvjeta korištenja terminala za UPP; te ga održavati na snazi i obnavljati sukladno odredbama Ugovora i Općih uvjeta korištenja terminala za UPP. </w:t>
      </w:r>
    </w:p>
    <w:p w14:paraId="7162A53F" w14:textId="77777777" w:rsidR="00880F7F" w:rsidRPr="00880F7F" w:rsidRDefault="00880F7F" w:rsidP="00880F7F">
      <w:pPr>
        <w:spacing w:before="100" w:beforeAutospacing="1" w:after="0" w:line="240" w:lineRule="auto"/>
        <w:ind w:left="142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bookmarkStart w:id="3" w:name="_Hlk71115201"/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U slučaju da Prenositelj ovim Ugovorom prenosi Kapacitet Uplinjavanja UPP-a za Prijenos prije nego što je dospjela njegova obveza dostave sredstva osiguranja plaćanja sukladno odredbama Ugovora i Općih uvjeta korištenja terminala za UPP u odnosu na Kapacitet Uplinjavanja UPP-a za Prijenos, Stjecatelj je obvezan u roku iz Pravila korištenja terminala za UPP istovremeno sa dostavom Operatoru primjeraka ovog Ugovora o Prijenosu potpisanih od strane Prenositelja i Stjecatelja dostaviti Operatoru jamstvo za raspodjelu kapaciteta za 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lastRenderedPageBreak/>
        <w:t>Kapacitet Uplinjavanja UPP-a za Prijenos, sukladno odredbama Pravila korištenja terminala za UPP.</w:t>
      </w:r>
    </w:p>
    <w:p w14:paraId="706A4491" w14:textId="77777777" w:rsidR="00880F7F" w:rsidRPr="00880F7F" w:rsidRDefault="00880F7F" w:rsidP="00880F7F">
      <w:pPr>
        <w:spacing w:before="100" w:beforeAutospacing="1" w:after="0" w:line="240" w:lineRule="auto"/>
        <w:ind w:left="142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bookmarkStart w:id="4" w:name="_Hlk71115420"/>
      <w:bookmarkEnd w:id="3"/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U slučaju da Stjecatelj nije postojeći korisnik terminala za UPP, Stjecatelj je obvezan u roku iz Pravila korištenja terminala za UPP, istovremeno sa dostavom Operatoru primjeraka ovog Ugovora o Prijenosu potpisanih od strane Prenositelja i Stjecatelja, pristupiti ugovoru o zajedničkom korištenju terminala za UPP i dostaviti sredstvo osiguranja plaćanja za zajedničko korištenje terminala za UPP, sukladno odredbama Pravila korištenja terminala za UPP.</w:t>
      </w:r>
    </w:p>
    <w:bookmarkEnd w:id="4"/>
    <w:p w14:paraId="37D5510F" w14:textId="77777777" w:rsidR="00880F7F" w:rsidRPr="00880F7F" w:rsidRDefault="00880F7F" w:rsidP="00880F7F">
      <w:pPr>
        <w:spacing w:before="100" w:beforeAutospacing="1" w:after="0" w:line="240" w:lineRule="auto"/>
        <w:ind w:left="142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Dostava sredstava osiguranja plaćanja, odnosno jamstva za raspodjelu kapaciteta, te pristupanje ugovoru o zajedničkom korištenju terminala za UPP  u roku iz ovog članka predstavljaju bitni sastojak Ugovora o Prijenosu. </w:t>
      </w:r>
    </w:p>
    <w:p w14:paraId="0D9372F6" w14:textId="77777777" w:rsidR="00880F7F" w:rsidRPr="00880F7F" w:rsidRDefault="00880F7F" w:rsidP="00880F7F">
      <w:pPr>
        <w:spacing w:before="100" w:beforeAutospacing="1" w:after="0" w:line="240" w:lineRule="auto"/>
        <w:ind w:left="142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Stjecatelj je suglasan da Operator smije koristiti sva sredstva osiguranja plaćanja koja mu je predao Stjecatelj temeljem bilo kojeg drugog ugovora, također i za namirenje svih tražbina Operatora koje se odnose na i/ili vezano uz Kapacitet Uplinjavanja UPP-a za Prijenos.</w:t>
      </w:r>
    </w:p>
    <w:p w14:paraId="6CADF7EB" w14:textId="77777777" w:rsidR="00880F7F" w:rsidRPr="00880F7F" w:rsidRDefault="00880F7F" w:rsidP="00880F7F">
      <w:pPr>
        <w:spacing w:after="0" w:line="240" w:lineRule="auto"/>
        <w:ind w:left="142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Raskid ili prestanak Ugovora sklopljenog između Prenositelja i Operatora ne utječe na valjanost prijenosa iz ovoga Ugovora o Prijenosu, </w:t>
      </w:r>
      <w:bookmarkStart w:id="5" w:name="_Hlk71115769"/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pod uvjetom da je prijenos Kapaciteta Uplinjavanja UPP-a za Prijenos dovršen u skladu s Pravilima korištenja terminala za UPP prije nastupa raskida ili prestanka Ugovora</w:t>
      </w:r>
      <w:bookmarkEnd w:id="5"/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.</w:t>
      </w:r>
    </w:p>
    <w:p w14:paraId="690CE72F" w14:textId="77777777" w:rsidR="00880F7F" w:rsidRPr="00880F7F" w:rsidRDefault="00880F7F" w:rsidP="00880F7F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</w:p>
    <w:p w14:paraId="2F0DD6CF" w14:textId="77777777" w:rsidR="00880F7F" w:rsidRPr="00880F7F" w:rsidRDefault="00880F7F" w:rsidP="00880F7F">
      <w:pPr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  <w:r w:rsidRPr="00880F7F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hi-IN"/>
        </w:rPr>
        <w:t xml:space="preserve">Završne odredbe </w:t>
      </w:r>
    </w:p>
    <w:p w14:paraId="40F689C8" w14:textId="77777777" w:rsidR="00880F7F" w:rsidRPr="00880F7F" w:rsidRDefault="00880F7F" w:rsidP="00880F7F">
      <w:pPr>
        <w:spacing w:after="0" w:line="240" w:lineRule="auto"/>
        <w:ind w:left="390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</w:p>
    <w:p w14:paraId="4D109B8A" w14:textId="77777777" w:rsidR="00880F7F" w:rsidRPr="00880F7F" w:rsidRDefault="00880F7F" w:rsidP="00880F7F">
      <w:pPr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3.1.  Za ovaj Ugovor o Prijenosu te prava i obaveze koje proizlaze iz njega mjerodavno je pravo Republike Hrvatske.</w:t>
      </w:r>
    </w:p>
    <w:p w14:paraId="112BEDD4" w14:textId="77777777" w:rsidR="00880F7F" w:rsidRPr="00880F7F" w:rsidRDefault="00880F7F" w:rsidP="00880F7F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</w:p>
    <w:p w14:paraId="5D4F98AF" w14:textId="77777777" w:rsidR="00880F7F" w:rsidRPr="00880F7F" w:rsidRDefault="00880F7F" w:rsidP="00880F7F">
      <w:p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3.2.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ab/>
        <w:t xml:space="preserve">Bilo koji sporovi koji nastanu temeljem ili vezano uz ovaj Ugovor o Prijenosu, njegovo kršenje, raskid ili valjanost, konačno će se riješiti arbitražom kako slijedi: </w:t>
      </w:r>
    </w:p>
    <w:p w14:paraId="51A15407" w14:textId="77777777" w:rsidR="00880F7F" w:rsidRPr="00880F7F" w:rsidRDefault="00880F7F" w:rsidP="00880F7F">
      <w:p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</w:t>
      </w:r>
    </w:p>
    <w:p w14:paraId="3521844F" w14:textId="77777777" w:rsidR="00880F7F" w:rsidRPr="00880F7F" w:rsidRDefault="00880F7F" w:rsidP="00880F7F">
      <w:pPr>
        <w:spacing w:after="0" w:line="240" w:lineRule="auto"/>
        <w:ind w:left="709" w:hanging="142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- ako su sve stranke u sporu osnovane po pravu Republike Hrvatske, mjesto arbitraže bit će u Republici Hrvatskoj, Zagrebu. Jezik arbitraže bit će hrvatski; </w:t>
      </w:r>
    </w:p>
    <w:p w14:paraId="61DD9686" w14:textId="77777777" w:rsidR="00880F7F" w:rsidRPr="00880F7F" w:rsidRDefault="00880F7F" w:rsidP="00880F7F">
      <w:pPr>
        <w:spacing w:after="0" w:line="240" w:lineRule="auto"/>
        <w:ind w:left="709" w:hanging="142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</w:t>
      </w:r>
    </w:p>
    <w:p w14:paraId="0CE48BFE" w14:textId="77777777" w:rsidR="00880F7F" w:rsidRPr="00880F7F" w:rsidRDefault="00880F7F" w:rsidP="00880F7F">
      <w:pPr>
        <w:spacing w:after="0" w:line="240" w:lineRule="auto"/>
        <w:ind w:left="709" w:hanging="142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- ako je barem jedna stranka u sporu osnovana po stranom pravu, mjesto arbitraže bit će u Republici Austriji, Beč. Jezik arbitraže bit će engleski; </w:t>
      </w:r>
    </w:p>
    <w:p w14:paraId="36DB45AC" w14:textId="77777777" w:rsidR="00880F7F" w:rsidRPr="00880F7F" w:rsidRDefault="00880F7F" w:rsidP="00880F7F">
      <w:pPr>
        <w:spacing w:after="0" w:line="240" w:lineRule="auto"/>
        <w:ind w:left="567" w:hanging="142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</w:t>
      </w:r>
    </w:p>
    <w:p w14:paraId="150CAC62" w14:textId="77777777" w:rsidR="00880F7F" w:rsidRPr="00880F7F" w:rsidRDefault="00880F7F" w:rsidP="00880F7F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dok će se u odnosu na preostala pitanja za arbitražu koja nisu regulirana u ovom Ugovoru o Prijenosu primjenjivati članak 49. Općih uvjeta</w:t>
      </w:r>
      <w:r w:rsidRPr="00880F7F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 xml:space="preserve"> korištenja terminala za UPP</w:t>
      </w: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.</w:t>
      </w:r>
    </w:p>
    <w:p w14:paraId="223DD75D" w14:textId="77777777" w:rsidR="00880F7F" w:rsidRPr="00880F7F" w:rsidRDefault="00880F7F" w:rsidP="00880F7F">
      <w:pPr>
        <w:spacing w:after="0" w:line="240" w:lineRule="auto"/>
        <w:ind w:left="39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</w:p>
    <w:p w14:paraId="397BC142" w14:textId="77777777" w:rsidR="00880F7F" w:rsidRPr="00880F7F" w:rsidRDefault="00880F7F" w:rsidP="00880F7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Stranke ovime izjavljuju da su pažljivo pročitale Ugovor o Prijenosu te razumjele njegov sadržaj i učinke. </w:t>
      </w:r>
    </w:p>
    <w:p w14:paraId="5BB1DCD6" w14:textId="77777777" w:rsidR="00880F7F" w:rsidRPr="00880F7F" w:rsidRDefault="00880F7F" w:rsidP="00880F7F">
      <w:pPr>
        <w:spacing w:after="0" w:line="240" w:lineRule="auto"/>
        <w:ind w:left="39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</w:p>
    <w:p w14:paraId="5171F21B" w14:textId="77777777" w:rsidR="00880F7F" w:rsidRPr="00880F7F" w:rsidRDefault="00880F7F" w:rsidP="00880F7F">
      <w:pPr>
        <w:numPr>
          <w:ilvl w:val="1"/>
          <w:numId w:val="6"/>
        </w:numPr>
        <w:spacing w:after="0" w:line="240" w:lineRule="auto"/>
        <w:ind w:left="391" w:hanging="39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Ovaj Ugovor o Prijenosu sastavljen je u tri istovjetna primjerka – jedan za Operatora, Prenositelja i Stjecatelja.</w:t>
      </w:r>
    </w:p>
    <w:p w14:paraId="1B61D306" w14:textId="77777777" w:rsidR="00880F7F" w:rsidRPr="00880F7F" w:rsidRDefault="00880F7F" w:rsidP="00880F7F">
      <w:pPr>
        <w:spacing w:after="0" w:line="240" w:lineRule="auto"/>
        <w:ind w:left="39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</w:t>
      </w:r>
    </w:p>
    <w:p w14:paraId="12E93F29" w14:textId="77777777" w:rsidR="00880F7F" w:rsidRPr="00880F7F" w:rsidRDefault="00880F7F" w:rsidP="00880F7F">
      <w:pPr>
        <w:numPr>
          <w:ilvl w:val="1"/>
          <w:numId w:val="6"/>
        </w:numPr>
        <w:spacing w:after="0" w:line="240" w:lineRule="auto"/>
        <w:ind w:left="391" w:hanging="39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  <w:r w:rsidRPr="00880F7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Ovaj Ugovor o Prijenosu stupa na snagu datumom kada ga je potpisao Operator.</w:t>
      </w:r>
    </w:p>
    <w:p w14:paraId="1928C14B" w14:textId="77777777" w:rsidR="00880F7F" w:rsidRPr="00880F7F" w:rsidRDefault="00880F7F" w:rsidP="00880F7F">
      <w:pPr>
        <w:spacing w:after="0" w:line="240" w:lineRule="auto"/>
        <w:ind w:left="720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14:paraId="4B8C12F7" w14:textId="77777777" w:rsidR="00880F7F" w:rsidRPr="00880F7F" w:rsidRDefault="00880F7F" w:rsidP="00880F7F">
      <w:pPr>
        <w:numPr>
          <w:ilvl w:val="1"/>
          <w:numId w:val="6"/>
        </w:numPr>
        <w:spacing w:after="0" w:line="240" w:lineRule="auto"/>
        <w:ind w:left="391" w:hanging="39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  <w:r w:rsidRPr="00880F7F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 xml:space="preserve">Ugovorne strane su suglasne da se na sva pitanja koja nisu regulirana ovim Ugovorom primjenjuju Pravila korištenja terminala za UPP, Opći uvjeti korištenja terminala za UPP, </w:t>
      </w:r>
      <w:r w:rsidRPr="00880F7F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lastRenderedPageBreak/>
        <w:t>zakoni kojima se uređuje energetski sektor, kao i propisi doneseni na temelju tih zakona, te propis koji uređuje obvezne odnose.</w:t>
      </w:r>
    </w:p>
    <w:p w14:paraId="72339C94" w14:textId="77777777" w:rsidR="002170AA" w:rsidRPr="00880F7F" w:rsidRDefault="002170AA" w:rsidP="002170AA">
      <w:pPr>
        <w:pStyle w:val="Default"/>
        <w:ind w:left="391"/>
        <w:jc w:val="both"/>
        <w:rPr>
          <w:rFonts w:ascii="Times New Roman" w:hAnsi="Times New Roman" w:cs="Times New Roman"/>
        </w:rPr>
      </w:pPr>
    </w:p>
    <w:p w14:paraId="410ABC39" w14:textId="77777777" w:rsidR="002170AA" w:rsidRPr="00880F7F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3020"/>
        <w:gridCol w:w="3033"/>
        <w:gridCol w:w="3019"/>
      </w:tblGrid>
      <w:tr w:rsidR="002170AA" w:rsidRPr="00880F7F" w14:paraId="3D1841FD" w14:textId="77777777" w:rsidTr="000F601D">
        <w:trPr>
          <w:trHeight w:val="99"/>
        </w:trPr>
        <w:tc>
          <w:tcPr>
            <w:tcW w:w="3213" w:type="dxa"/>
            <w:shd w:val="clear" w:color="auto" w:fill="auto"/>
          </w:tcPr>
          <w:p w14:paraId="53E3A442" w14:textId="77777777" w:rsidR="002170AA" w:rsidRPr="00880F7F" w:rsidRDefault="002170AA" w:rsidP="000F60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80F7F">
              <w:rPr>
                <w:rFonts w:ascii="Times New Roman" w:hAnsi="Times New Roman" w:cs="Times New Roman"/>
                <w:b/>
                <w:bCs/>
              </w:rPr>
              <w:t>Operator</w:t>
            </w:r>
          </w:p>
          <w:p w14:paraId="5F2151BD" w14:textId="77777777" w:rsidR="002170AA" w:rsidRPr="00880F7F" w:rsidRDefault="002170AA" w:rsidP="000F601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49B0BB" w14:textId="77777777" w:rsidR="002170AA" w:rsidRPr="00880F7F" w:rsidRDefault="002170AA" w:rsidP="000F60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520DAD14" w14:textId="77777777" w:rsidR="002170AA" w:rsidRPr="00880F7F" w:rsidRDefault="002170AA" w:rsidP="000F60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bookmarkStart w:id="6" w:name="__UnoMark__396_1579871476"/>
            <w:bookmarkEnd w:id="6"/>
          </w:p>
        </w:tc>
        <w:tc>
          <w:tcPr>
            <w:tcW w:w="3213" w:type="dxa"/>
            <w:shd w:val="clear" w:color="auto" w:fill="auto"/>
          </w:tcPr>
          <w:p w14:paraId="71B5CC7A" w14:textId="77777777" w:rsidR="002170AA" w:rsidRPr="00880F7F" w:rsidRDefault="002170AA" w:rsidP="000F60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80F7F">
              <w:rPr>
                <w:rFonts w:ascii="Times New Roman" w:hAnsi="Times New Roman" w:cs="Times New Roman"/>
                <w:b/>
                <w:bCs/>
              </w:rPr>
              <w:t>Prenositelj</w:t>
            </w:r>
          </w:p>
          <w:p w14:paraId="667259F5" w14:textId="77777777" w:rsidR="002170AA" w:rsidRPr="00880F7F" w:rsidRDefault="002170AA" w:rsidP="000F601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F1ECBC" w14:textId="77777777" w:rsidR="002170AA" w:rsidRPr="00880F7F" w:rsidRDefault="002170AA" w:rsidP="000F60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bookmarkStart w:id="7" w:name="__UnoMark__398_1579871476"/>
            <w:bookmarkEnd w:id="7"/>
          </w:p>
        </w:tc>
        <w:tc>
          <w:tcPr>
            <w:tcW w:w="3213" w:type="dxa"/>
            <w:shd w:val="clear" w:color="auto" w:fill="auto"/>
          </w:tcPr>
          <w:p w14:paraId="1B13D53F" w14:textId="77777777" w:rsidR="002170AA" w:rsidRPr="00880F7F" w:rsidRDefault="002170AA" w:rsidP="000F60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80F7F">
              <w:rPr>
                <w:rFonts w:ascii="Times New Roman" w:hAnsi="Times New Roman" w:cs="Times New Roman"/>
                <w:b/>
                <w:bCs/>
              </w:rPr>
              <w:t>Stjecatelj</w:t>
            </w:r>
          </w:p>
          <w:p w14:paraId="62E88968" w14:textId="77777777" w:rsidR="002170AA" w:rsidRPr="00880F7F" w:rsidRDefault="002170AA" w:rsidP="000F601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EC4B7A" w14:textId="77777777" w:rsidR="002170AA" w:rsidRPr="00880F7F" w:rsidRDefault="002170AA" w:rsidP="000F60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bookmarkStart w:id="8" w:name="__UnoMark__400_1579871476"/>
            <w:bookmarkEnd w:id="8"/>
          </w:p>
        </w:tc>
      </w:tr>
      <w:tr w:rsidR="002170AA" w:rsidRPr="00880F7F" w14:paraId="16BA9500" w14:textId="77777777" w:rsidTr="000F601D">
        <w:trPr>
          <w:trHeight w:val="228"/>
        </w:trPr>
        <w:tc>
          <w:tcPr>
            <w:tcW w:w="3213" w:type="dxa"/>
            <w:shd w:val="clear" w:color="auto" w:fill="auto"/>
          </w:tcPr>
          <w:p w14:paraId="66A8695D" w14:textId="77777777" w:rsidR="002170AA" w:rsidRPr="00880F7F" w:rsidRDefault="002170AA" w:rsidP="000F60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bookmarkStart w:id="9" w:name="__UnoMark__401_1579871476"/>
            <w:bookmarkEnd w:id="9"/>
            <w:r w:rsidRPr="00880F7F">
              <w:rPr>
                <w:rFonts w:ascii="Times New Roman" w:hAnsi="Times New Roman" w:cs="Times New Roman"/>
              </w:rPr>
              <w:t>(funkcija, puno ime i potpis)</w:t>
            </w:r>
            <w:bookmarkStart w:id="10" w:name="__UnoMark__402_1579871476"/>
            <w:bookmarkEnd w:id="10"/>
          </w:p>
        </w:tc>
        <w:tc>
          <w:tcPr>
            <w:tcW w:w="3213" w:type="dxa"/>
            <w:shd w:val="clear" w:color="auto" w:fill="auto"/>
          </w:tcPr>
          <w:p w14:paraId="65DF088C" w14:textId="77777777" w:rsidR="002170AA" w:rsidRPr="00880F7F" w:rsidRDefault="002170AA" w:rsidP="000F60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80F7F">
              <w:rPr>
                <w:rFonts w:ascii="Times New Roman" w:hAnsi="Times New Roman" w:cs="Times New Roman"/>
              </w:rPr>
              <w:t>(funkcija, puno ime i potpis)</w:t>
            </w:r>
          </w:p>
          <w:p w14:paraId="3857D50D" w14:textId="77777777" w:rsidR="002170AA" w:rsidRPr="00880F7F" w:rsidRDefault="002170AA" w:rsidP="000F60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bookmarkStart w:id="11" w:name="__UnoMark__404_1579871476"/>
            <w:bookmarkEnd w:id="11"/>
          </w:p>
        </w:tc>
        <w:tc>
          <w:tcPr>
            <w:tcW w:w="3213" w:type="dxa"/>
            <w:shd w:val="clear" w:color="auto" w:fill="auto"/>
          </w:tcPr>
          <w:p w14:paraId="1C9526AC" w14:textId="77777777" w:rsidR="002170AA" w:rsidRPr="00880F7F" w:rsidRDefault="002170AA" w:rsidP="000F60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80F7F">
              <w:rPr>
                <w:rFonts w:ascii="Times New Roman" w:hAnsi="Times New Roman" w:cs="Times New Roman"/>
              </w:rPr>
              <w:t>(funkcija, puno ime i potpis)</w:t>
            </w:r>
          </w:p>
          <w:p w14:paraId="20F94AE2" w14:textId="77777777" w:rsidR="002170AA" w:rsidRPr="00880F7F" w:rsidRDefault="002170AA" w:rsidP="000F60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AA" w:rsidRPr="00880F7F" w14:paraId="5BC46D19" w14:textId="77777777" w:rsidTr="000F601D">
        <w:trPr>
          <w:trHeight w:val="228"/>
        </w:trPr>
        <w:tc>
          <w:tcPr>
            <w:tcW w:w="3213" w:type="dxa"/>
            <w:shd w:val="clear" w:color="auto" w:fill="auto"/>
          </w:tcPr>
          <w:p w14:paraId="0EF2CCC3" w14:textId="77777777" w:rsidR="002170AA" w:rsidRPr="00880F7F" w:rsidRDefault="002170AA" w:rsidP="000F601D">
            <w:pPr>
              <w:pStyle w:val="Default"/>
              <w:rPr>
                <w:rFonts w:ascii="Times New Roman" w:hAnsi="Times New Roman" w:cs="Times New Roman"/>
              </w:rPr>
            </w:pPr>
            <w:r w:rsidRPr="00880F7F">
              <w:rPr>
                <w:rFonts w:ascii="Times New Roman" w:hAnsi="Times New Roman" w:cs="Times New Roman"/>
              </w:rPr>
              <w:t>Datum potpisa:</w:t>
            </w:r>
          </w:p>
        </w:tc>
        <w:tc>
          <w:tcPr>
            <w:tcW w:w="3213" w:type="dxa"/>
            <w:shd w:val="clear" w:color="auto" w:fill="auto"/>
          </w:tcPr>
          <w:p w14:paraId="13A60B51" w14:textId="77777777" w:rsidR="002170AA" w:rsidRPr="00880F7F" w:rsidRDefault="002170AA" w:rsidP="000F601D">
            <w:pPr>
              <w:pStyle w:val="Default"/>
              <w:rPr>
                <w:rFonts w:ascii="Times New Roman" w:hAnsi="Times New Roman" w:cs="Times New Roman"/>
              </w:rPr>
            </w:pPr>
            <w:r w:rsidRPr="00880F7F">
              <w:rPr>
                <w:rFonts w:ascii="Times New Roman" w:hAnsi="Times New Roman" w:cs="Times New Roman"/>
              </w:rPr>
              <w:t>Datum potpisa:</w:t>
            </w:r>
          </w:p>
        </w:tc>
        <w:tc>
          <w:tcPr>
            <w:tcW w:w="3213" w:type="dxa"/>
            <w:shd w:val="clear" w:color="auto" w:fill="auto"/>
          </w:tcPr>
          <w:p w14:paraId="640CD7EC" w14:textId="77777777" w:rsidR="002170AA" w:rsidRPr="00880F7F" w:rsidRDefault="002170AA" w:rsidP="000F601D">
            <w:pPr>
              <w:pStyle w:val="Default"/>
              <w:rPr>
                <w:rFonts w:ascii="Times New Roman" w:hAnsi="Times New Roman" w:cs="Times New Roman"/>
              </w:rPr>
            </w:pPr>
            <w:r w:rsidRPr="00880F7F">
              <w:rPr>
                <w:rFonts w:ascii="Times New Roman" w:hAnsi="Times New Roman" w:cs="Times New Roman"/>
              </w:rPr>
              <w:t>Datum potpisa:</w:t>
            </w:r>
          </w:p>
        </w:tc>
      </w:tr>
    </w:tbl>
    <w:p w14:paraId="199A354C" w14:textId="77777777" w:rsidR="002170AA" w:rsidRPr="00880F7F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B5696" w14:textId="77777777" w:rsidR="002170AA" w:rsidRPr="00880F7F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59841" w14:textId="77777777" w:rsidR="002170AA" w:rsidRPr="00880F7F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EAE56" w14:textId="77777777" w:rsidR="002170AA" w:rsidRPr="00880F7F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2DFFA" w14:textId="77777777" w:rsidR="002170AA" w:rsidRPr="00880F7F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73F47" w14:textId="77777777" w:rsidR="002170AA" w:rsidRPr="00880F7F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36F3F" w14:textId="77777777" w:rsidR="002170AA" w:rsidRPr="00880F7F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F7F4D" w14:textId="77777777" w:rsidR="002170AA" w:rsidRPr="00880F7F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3AEBF" w14:textId="77777777" w:rsidR="002170AA" w:rsidRPr="00880F7F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3C64E" w14:textId="77777777" w:rsidR="002170AA" w:rsidRPr="00880F7F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B6DE8" w14:textId="77777777" w:rsidR="002170AA" w:rsidRPr="00880F7F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459BE" w14:textId="77777777" w:rsidR="002170AA" w:rsidRPr="00880F7F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37643" w14:textId="77777777" w:rsidR="002170AA" w:rsidRPr="00880F7F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CB093" w14:textId="77777777" w:rsidR="002170AA" w:rsidRPr="00880F7F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EAEC6" w14:textId="77777777" w:rsidR="002170AA" w:rsidRPr="00880F7F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3C4B0" w14:textId="77777777" w:rsidR="002170AA" w:rsidRPr="00880F7F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D6251" w14:textId="77777777" w:rsidR="002170AA" w:rsidRPr="00880F7F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170C1" w14:textId="77777777" w:rsidR="002170AA" w:rsidRPr="00880F7F" w:rsidRDefault="002170AA" w:rsidP="00217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1F5FDA" w14:textId="77777777" w:rsidR="002170AA" w:rsidRPr="00880F7F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D0078" w14:textId="77777777" w:rsidR="002170AA" w:rsidRPr="00880F7F" w:rsidRDefault="002170AA" w:rsidP="0021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7C002" w14:textId="77777777" w:rsidR="002170AA" w:rsidRPr="00880F7F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DB9FC" w14:textId="77777777" w:rsidR="002170AA" w:rsidRPr="00880F7F" w:rsidRDefault="002170AA" w:rsidP="00217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AE8841" w14:textId="77777777" w:rsidR="002170AA" w:rsidRPr="00880F7F" w:rsidRDefault="002170AA" w:rsidP="002170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CC723A" w14:textId="77777777" w:rsidR="002170AA" w:rsidRPr="00880F7F" w:rsidRDefault="002170AA" w:rsidP="002170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952DB2" w14:textId="77777777" w:rsidR="002170AA" w:rsidRPr="00880F7F" w:rsidRDefault="002170AA" w:rsidP="002170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124587" w14:textId="77777777" w:rsidR="002170AA" w:rsidRPr="00880F7F" w:rsidRDefault="002170AA" w:rsidP="002170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7D1767" w14:textId="77777777" w:rsidR="002170AA" w:rsidRPr="00880F7F" w:rsidRDefault="002170AA" w:rsidP="002170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EBB5AE" w14:textId="77777777" w:rsidR="002170AA" w:rsidRPr="00880F7F" w:rsidRDefault="002170AA" w:rsidP="002170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6C1662" w14:textId="77777777" w:rsidR="002170AA" w:rsidRPr="00880F7F" w:rsidRDefault="002170AA" w:rsidP="002170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5B6002" w14:textId="77777777" w:rsidR="002170AA" w:rsidRPr="00880F7F" w:rsidRDefault="002170AA" w:rsidP="002170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9FCC7D" w14:textId="77777777" w:rsidR="002170AA" w:rsidRPr="00880F7F" w:rsidRDefault="002170AA" w:rsidP="002170A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170AA" w:rsidRPr="00880F7F" w:rsidSect="00132E26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284388" w14:textId="77777777" w:rsidR="001D2D93" w:rsidRDefault="001D2D93" w:rsidP="006D4478">
      <w:pPr>
        <w:spacing w:after="0" w:line="240" w:lineRule="auto"/>
      </w:pPr>
      <w:r>
        <w:separator/>
      </w:r>
    </w:p>
  </w:endnote>
  <w:endnote w:type="continuationSeparator" w:id="0">
    <w:p w14:paraId="35F018B7" w14:textId="77777777" w:rsidR="001D2D93" w:rsidRDefault="001D2D93" w:rsidP="006D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B5D70B" w14:textId="77777777" w:rsidR="001D2D93" w:rsidRDefault="001D2D93" w:rsidP="006D4478">
      <w:pPr>
        <w:spacing w:after="0" w:line="240" w:lineRule="auto"/>
      </w:pPr>
      <w:r>
        <w:separator/>
      </w:r>
    </w:p>
  </w:footnote>
  <w:footnote w:type="continuationSeparator" w:id="0">
    <w:p w14:paraId="46595D1E" w14:textId="77777777" w:rsidR="001D2D93" w:rsidRDefault="001D2D93" w:rsidP="006D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2A344" w14:textId="45544428" w:rsidR="006D4478" w:rsidRDefault="005D67D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704" behindDoc="1" locked="0" layoutInCell="0" allowOverlap="1" wp14:anchorId="1CA82AE3" wp14:editId="4A449D5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8147050"/>
          <wp:effectExtent l="0" t="0" r="0" b="0"/>
          <wp:wrapNone/>
          <wp:docPr id="1" name="Picture 1" descr="memo_final_cr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_final_cr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04A99" w14:textId="2CB89568" w:rsidR="006D4478" w:rsidRDefault="005D67D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728" behindDoc="1" locked="0" layoutInCell="0" allowOverlap="1" wp14:anchorId="7A8213F0" wp14:editId="4FF191DE">
          <wp:simplePos x="0" y="0"/>
          <wp:positionH relativeFrom="margin">
            <wp:posOffset>340995</wp:posOffset>
          </wp:positionH>
          <wp:positionV relativeFrom="margin">
            <wp:posOffset>-766445</wp:posOffset>
          </wp:positionV>
          <wp:extent cx="5760720" cy="8147050"/>
          <wp:effectExtent l="0" t="0" r="0" b="0"/>
          <wp:wrapNone/>
          <wp:docPr id="2" name="Picture 2" descr="memo_final_cr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mo_final_cr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D3336" w14:textId="77777777" w:rsidR="006D4478" w:rsidRDefault="00000000">
    <w:pPr>
      <w:pStyle w:val="Header"/>
    </w:pPr>
    <w:r>
      <w:rPr>
        <w:noProof/>
        <w:lang w:eastAsia="hr-HR"/>
      </w:rPr>
      <w:pict w14:anchorId="6B43D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65.4pt;height:799.6pt;z-index:-251657728;mso-position-horizontal:center;mso-position-horizontal-relative:margin;mso-position-vertical:center;mso-position-vertical-relative:margin" o:allowincell="f">
          <v:imagedata r:id="rId1" o:title="memo_final_cr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2706F"/>
    <w:multiLevelType w:val="hybridMultilevel"/>
    <w:tmpl w:val="1ACC7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F6C61"/>
    <w:multiLevelType w:val="hybridMultilevel"/>
    <w:tmpl w:val="F2206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057FA"/>
    <w:multiLevelType w:val="hybridMultilevel"/>
    <w:tmpl w:val="1D4C6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53EAA"/>
    <w:multiLevelType w:val="multilevel"/>
    <w:tmpl w:val="97F04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C17F8F"/>
    <w:multiLevelType w:val="multilevel"/>
    <w:tmpl w:val="C48CBD2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  <w:sz w:val="24"/>
        <w:szCs w:val="32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6B6D766F"/>
    <w:multiLevelType w:val="multilevel"/>
    <w:tmpl w:val="BC86D16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b/>
        <w:sz w:val="20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b w:val="0"/>
        <w:i w:val="0"/>
        <w:iCs w:val="0"/>
        <w:sz w:val="24"/>
        <w:szCs w:val="3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75565245">
    <w:abstractNumId w:val="1"/>
  </w:num>
  <w:num w:numId="2" w16cid:durableId="47920190">
    <w:abstractNumId w:val="2"/>
  </w:num>
  <w:num w:numId="3" w16cid:durableId="84617927">
    <w:abstractNumId w:val="0"/>
  </w:num>
  <w:num w:numId="4" w16cid:durableId="1393499909">
    <w:abstractNumId w:val="3"/>
  </w:num>
  <w:num w:numId="5" w16cid:durableId="710114163">
    <w:abstractNumId w:val="4"/>
  </w:num>
  <w:num w:numId="6" w16cid:durableId="17235973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78"/>
    <w:rsid w:val="00013619"/>
    <w:rsid w:val="00030DC9"/>
    <w:rsid w:val="00041F80"/>
    <w:rsid w:val="00064444"/>
    <w:rsid w:val="000A0DAE"/>
    <w:rsid w:val="000C41A6"/>
    <w:rsid w:val="000E5E3B"/>
    <w:rsid w:val="000F415C"/>
    <w:rsid w:val="00132E26"/>
    <w:rsid w:val="0017589C"/>
    <w:rsid w:val="00184458"/>
    <w:rsid w:val="00190971"/>
    <w:rsid w:val="00195CD3"/>
    <w:rsid w:val="001A45AE"/>
    <w:rsid w:val="001B2B2C"/>
    <w:rsid w:val="001D2D93"/>
    <w:rsid w:val="001E25F5"/>
    <w:rsid w:val="002170AA"/>
    <w:rsid w:val="00222813"/>
    <w:rsid w:val="002367C7"/>
    <w:rsid w:val="0026064B"/>
    <w:rsid w:val="00282FF5"/>
    <w:rsid w:val="0028536A"/>
    <w:rsid w:val="002C1CC8"/>
    <w:rsid w:val="0033753B"/>
    <w:rsid w:val="0034013E"/>
    <w:rsid w:val="00372BFC"/>
    <w:rsid w:val="003A523C"/>
    <w:rsid w:val="003E73F0"/>
    <w:rsid w:val="003F57A6"/>
    <w:rsid w:val="00494B99"/>
    <w:rsid w:val="004A70E0"/>
    <w:rsid w:val="004C0E3F"/>
    <w:rsid w:val="004F18F9"/>
    <w:rsid w:val="005C4362"/>
    <w:rsid w:val="005D67D8"/>
    <w:rsid w:val="00611B36"/>
    <w:rsid w:val="00617056"/>
    <w:rsid w:val="0063565B"/>
    <w:rsid w:val="006429E0"/>
    <w:rsid w:val="00662426"/>
    <w:rsid w:val="006A3E1B"/>
    <w:rsid w:val="006D4478"/>
    <w:rsid w:val="00782B6E"/>
    <w:rsid w:val="007A12FE"/>
    <w:rsid w:val="007A1540"/>
    <w:rsid w:val="007D48D2"/>
    <w:rsid w:val="007E06EF"/>
    <w:rsid w:val="008000D6"/>
    <w:rsid w:val="00822F09"/>
    <w:rsid w:val="00851409"/>
    <w:rsid w:val="00875212"/>
    <w:rsid w:val="00880F7F"/>
    <w:rsid w:val="00881A6C"/>
    <w:rsid w:val="008A63A3"/>
    <w:rsid w:val="008D77DA"/>
    <w:rsid w:val="00951F59"/>
    <w:rsid w:val="009B5EE5"/>
    <w:rsid w:val="009D256B"/>
    <w:rsid w:val="009D5A60"/>
    <w:rsid w:val="009F7C7E"/>
    <w:rsid w:val="00A42A85"/>
    <w:rsid w:val="00A70D0B"/>
    <w:rsid w:val="00A8221E"/>
    <w:rsid w:val="00AC379E"/>
    <w:rsid w:val="00B544AF"/>
    <w:rsid w:val="00B6724F"/>
    <w:rsid w:val="00BD6C83"/>
    <w:rsid w:val="00C32751"/>
    <w:rsid w:val="00C94B82"/>
    <w:rsid w:val="00C96CE9"/>
    <w:rsid w:val="00CA6197"/>
    <w:rsid w:val="00D16F82"/>
    <w:rsid w:val="00D205DE"/>
    <w:rsid w:val="00D20838"/>
    <w:rsid w:val="00D47C0A"/>
    <w:rsid w:val="00D65E39"/>
    <w:rsid w:val="00D92E9C"/>
    <w:rsid w:val="00E06957"/>
    <w:rsid w:val="00E32EDA"/>
    <w:rsid w:val="00EC77A5"/>
    <w:rsid w:val="00F01CC9"/>
    <w:rsid w:val="00F15255"/>
    <w:rsid w:val="00F37205"/>
    <w:rsid w:val="00F63D0E"/>
    <w:rsid w:val="00F92D8B"/>
    <w:rsid w:val="00FD559D"/>
    <w:rsid w:val="00F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1FB9E"/>
  <w15:docId w15:val="{B89B4840-566C-4A2D-8D89-E69C0E8D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478"/>
  </w:style>
  <w:style w:type="paragraph" w:styleId="Footer">
    <w:name w:val="footer"/>
    <w:basedOn w:val="Normal"/>
    <w:link w:val="FooterChar"/>
    <w:uiPriority w:val="99"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78"/>
  </w:style>
  <w:style w:type="paragraph" w:styleId="NoSpacing">
    <w:name w:val="No Spacing"/>
    <w:uiPriority w:val="1"/>
    <w:qFormat/>
    <w:rsid w:val="005D67D8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5D67D8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6429E0"/>
    <w:pPr>
      <w:ind w:left="720"/>
      <w:contextualSpacing/>
    </w:pPr>
  </w:style>
  <w:style w:type="table" w:styleId="TableGrid">
    <w:name w:val="Table Grid"/>
    <w:basedOn w:val="TableNormal"/>
    <w:uiPriority w:val="59"/>
    <w:rsid w:val="005C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3B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170AA"/>
    <w:pPr>
      <w:spacing w:after="0" w:line="240" w:lineRule="auto"/>
    </w:pPr>
    <w:rPr>
      <w:rFonts w:ascii="Calibri" w:eastAsia="SimSun" w:hAnsi="Calibri" w:cs="Calibri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22_06_72_106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21_08_87_162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Mihovil Galić</cp:lastModifiedBy>
  <cp:revision>7</cp:revision>
  <cp:lastPrinted>2020-01-17T09:29:00Z</cp:lastPrinted>
  <dcterms:created xsi:type="dcterms:W3CDTF">2023-06-01T06:50:00Z</dcterms:created>
  <dcterms:modified xsi:type="dcterms:W3CDTF">2024-05-16T08:26:00Z</dcterms:modified>
</cp:coreProperties>
</file>